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3C827" w14:textId="77777777" w:rsidR="003F5709" w:rsidRDefault="00E76DA2" w:rsidP="00E76DA2">
      <w:pPr>
        <w:jc w:val="center"/>
      </w:pPr>
      <w:r>
        <w:rPr>
          <w:noProof/>
          <w:lang w:eastAsia="en-GB"/>
        </w:rPr>
        <w:drawing>
          <wp:inline distT="0" distB="0" distL="0" distR="0" wp14:anchorId="09CE7060" wp14:editId="4FB9D94F">
            <wp:extent cx="1057275" cy="1057275"/>
            <wp:effectExtent l="0" t="0" r="9525" b="9525"/>
            <wp:docPr id="2" name="Picture 2" descr="Scottish Maths Support Network (@ScottishMathsSN)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ottish Maths Support Network (@ScottishMathsSN) | Twitt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a:ln>
                      <a:noFill/>
                    </a:ln>
                  </pic:spPr>
                </pic:pic>
              </a:graphicData>
            </a:graphic>
          </wp:inline>
        </w:drawing>
      </w:r>
      <w:r>
        <w:tab/>
      </w:r>
      <w:r>
        <w:rPr>
          <w:noProof/>
          <w:lang w:eastAsia="en-GB"/>
        </w:rPr>
        <w:drawing>
          <wp:inline distT="0" distB="0" distL="0" distR="0" wp14:anchorId="22310B14" wp14:editId="4E82C7C5">
            <wp:extent cx="1741040" cy="704850"/>
            <wp:effectExtent l="0" t="0" r="0" b="0"/>
            <wp:docPr id="1" name="Picture 1" descr="Welcome to the Fine Art Maths Centre Blog – Fine Art Maths Cen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lcome to the Fine Art Maths Centre Blog – Fine Art Maths Cent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47144" cy="707321"/>
                    </a:xfrm>
                    <a:prstGeom prst="rect">
                      <a:avLst/>
                    </a:prstGeom>
                    <a:noFill/>
                    <a:ln>
                      <a:noFill/>
                    </a:ln>
                  </pic:spPr>
                </pic:pic>
              </a:graphicData>
            </a:graphic>
          </wp:inline>
        </w:drawing>
      </w:r>
      <w:r>
        <w:tab/>
      </w:r>
      <w:r>
        <w:rPr>
          <w:noProof/>
          <w:lang w:eastAsia="en-GB"/>
        </w:rPr>
        <w:drawing>
          <wp:inline distT="0" distB="0" distL="0" distR="0" wp14:anchorId="0A36B1AD" wp14:editId="6F4AFCE8">
            <wp:extent cx="1837636" cy="742950"/>
            <wp:effectExtent l="0" t="0" r="0" b="0"/>
            <wp:docPr id="3" name="Picture 3" descr="IMLSN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LSN Hom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3682" cy="745394"/>
                    </a:xfrm>
                    <a:prstGeom prst="rect">
                      <a:avLst/>
                    </a:prstGeom>
                    <a:noFill/>
                    <a:ln>
                      <a:noFill/>
                    </a:ln>
                  </pic:spPr>
                </pic:pic>
              </a:graphicData>
            </a:graphic>
          </wp:inline>
        </w:drawing>
      </w:r>
    </w:p>
    <w:p w14:paraId="3102313F" w14:textId="77777777" w:rsidR="00E76DA2" w:rsidRPr="004636A2" w:rsidRDefault="00E76DA2" w:rsidP="00E76DA2">
      <w:pPr>
        <w:jc w:val="center"/>
        <w:rPr>
          <w:b/>
          <w:sz w:val="24"/>
          <w:u w:val="single"/>
        </w:rPr>
      </w:pPr>
      <w:r w:rsidRPr="004636A2">
        <w:rPr>
          <w:b/>
          <w:sz w:val="24"/>
          <w:u w:val="single"/>
        </w:rPr>
        <w:t>The UK and Ireland Awards for Excellence in Mathematics and Statistics Support</w:t>
      </w:r>
    </w:p>
    <w:p w14:paraId="3C2816C1" w14:textId="07B73E91" w:rsidR="00E76DA2" w:rsidRPr="004636A2" w:rsidRDefault="00E76DA2" w:rsidP="00E76DA2">
      <w:pPr>
        <w:rPr>
          <w:sz w:val="24"/>
        </w:rPr>
      </w:pPr>
      <w:r w:rsidRPr="004636A2">
        <w:rPr>
          <w:sz w:val="24"/>
        </w:rPr>
        <w:t>These awards are designed to celebrate the achievements of practitioners working in mathematics and statistics suppor</w:t>
      </w:r>
      <w:r w:rsidR="003D2EE7">
        <w:rPr>
          <w:sz w:val="24"/>
        </w:rPr>
        <w:t>t</w:t>
      </w:r>
      <w:r w:rsidRPr="004636A2">
        <w:rPr>
          <w:sz w:val="24"/>
        </w:rPr>
        <w:t>.</w:t>
      </w:r>
      <w:r w:rsidR="00434DF7">
        <w:rPr>
          <w:sz w:val="24"/>
        </w:rPr>
        <w:t xml:space="preserve"> As these awards are </w:t>
      </w:r>
      <w:r w:rsidR="00490658">
        <w:rPr>
          <w:sz w:val="24"/>
        </w:rPr>
        <w:t>inter</w:t>
      </w:r>
      <w:r w:rsidR="00434DF7">
        <w:rPr>
          <w:sz w:val="24"/>
        </w:rPr>
        <w:t>nationally recognised, we hope that these awards will increase the presence and reputation of colleagues in their institutions.</w:t>
      </w:r>
      <w:r w:rsidRPr="004636A2">
        <w:rPr>
          <w:sz w:val="24"/>
        </w:rPr>
        <w:t xml:space="preserve"> Up to five awards will be presented each year based on the criteria set out below:</w:t>
      </w:r>
    </w:p>
    <w:p w14:paraId="68FDADEC" w14:textId="2CEE2013" w:rsidR="00E76DA2" w:rsidRPr="004636A2" w:rsidRDefault="00E76DA2" w:rsidP="00E76DA2">
      <w:pPr>
        <w:rPr>
          <w:sz w:val="24"/>
          <w:u w:val="single"/>
        </w:rPr>
      </w:pPr>
      <w:r w:rsidRPr="004636A2">
        <w:rPr>
          <w:sz w:val="24"/>
          <w:u w:val="single"/>
        </w:rPr>
        <w:t>Award Criteria</w:t>
      </w:r>
      <w:r w:rsidR="005321D7">
        <w:rPr>
          <w:sz w:val="24"/>
          <w:u w:val="single"/>
        </w:rPr>
        <w:t xml:space="preserve"> and Information</w:t>
      </w:r>
    </w:p>
    <w:p w14:paraId="67061F55" w14:textId="77777777" w:rsidR="00E76DA2" w:rsidRPr="004636A2" w:rsidRDefault="00E76DA2" w:rsidP="00E76DA2">
      <w:pPr>
        <w:pStyle w:val="ListParagraph"/>
        <w:numPr>
          <w:ilvl w:val="0"/>
          <w:numId w:val="1"/>
        </w:numPr>
        <w:rPr>
          <w:sz w:val="24"/>
          <w:u w:val="single"/>
        </w:rPr>
      </w:pPr>
      <w:r w:rsidRPr="004636A2">
        <w:rPr>
          <w:sz w:val="24"/>
        </w:rPr>
        <w:t>The nominee must be a member of one of the three UK and Ireland networks for mat</w:t>
      </w:r>
      <w:r w:rsidR="00B87133" w:rsidRPr="004636A2">
        <w:rPr>
          <w:sz w:val="24"/>
        </w:rPr>
        <w:t>hematics and statistics support and must be in good standing.</w:t>
      </w:r>
    </w:p>
    <w:p w14:paraId="70ECEF98" w14:textId="7323ECE6" w:rsidR="00E76DA2" w:rsidRPr="004636A2" w:rsidRDefault="00DE50D4" w:rsidP="00E76DA2">
      <w:pPr>
        <w:pStyle w:val="ListParagraph"/>
        <w:numPr>
          <w:ilvl w:val="0"/>
          <w:numId w:val="1"/>
        </w:numPr>
        <w:rPr>
          <w:sz w:val="24"/>
          <w:u w:val="single"/>
        </w:rPr>
      </w:pPr>
      <w:r>
        <w:rPr>
          <w:sz w:val="24"/>
        </w:rPr>
        <w:t>Candidates</w:t>
      </w:r>
      <w:r w:rsidR="00E76DA2" w:rsidRPr="004636A2">
        <w:rPr>
          <w:sz w:val="24"/>
        </w:rPr>
        <w:t xml:space="preserve"> can be nominated</w:t>
      </w:r>
      <w:r>
        <w:rPr>
          <w:sz w:val="24"/>
        </w:rPr>
        <w:t xml:space="preserve"> by themselves</w:t>
      </w:r>
      <w:r w:rsidR="00E76DA2" w:rsidRPr="004636A2">
        <w:rPr>
          <w:sz w:val="24"/>
        </w:rPr>
        <w:t xml:space="preserve"> or by colleagues.</w:t>
      </w:r>
      <w:r>
        <w:rPr>
          <w:sz w:val="24"/>
        </w:rPr>
        <w:t xml:space="preserve"> Nominees must agree to fulfil the process outlined below.</w:t>
      </w:r>
    </w:p>
    <w:p w14:paraId="4CB093C1" w14:textId="2BD64033" w:rsidR="00E76DA2" w:rsidRPr="00434DF7" w:rsidRDefault="00E76DA2" w:rsidP="00E76DA2">
      <w:pPr>
        <w:pStyle w:val="ListParagraph"/>
        <w:numPr>
          <w:ilvl w:val="0"/>
          <w:numId w:val="1"/>
        </w:numPr>
        <w:rPr>
          <w:sz w:val="24"/>
          <w:u w:val="single"/>
        </w:rPr>
      </w:pPr>
      <w:r w:rsidRPr="004636A2">
        <w:rPr>
          <w:sz w:val="24"/>
        </w:rPr>
        <w:t>A nominee does not have to be an employee of an institution so long as they are providing mathematics and statistics support in some capacity. We therefore welcome nominations for students, part time tutors and similar.</w:t>
      </w:r>
    </w:p>
    <w:p w14:paraId="5569A98A" w14:textId="0A2CBC27" w:rsidR="00434DF7" w:rsidRPr="004636A2" w:rsidRDefault="00434DF7" w:rsidP="00E76DA2">
      <w:pPr>
        <w:pStyle w:val="ListParagraph"/>
        <w:numPr>
          <w:ilvl w:val="0"/>
          <w:numId w:val="1"/>
        </w:numPr>
        <w:rPr>
          <w:sz w:val="24"/>
          <w:u w:val="single"/>
        </w:rPr>
      </w:pPr>
      <w:r>
        <w:rPr>
          <w:sz w:val="24"/>
        </w:rPr>
        <w:t>Primarily these awards are aimed for colleagues based in the UK and Ireland. However, our ever-increasing international links mean we have many members who do not work in the UK or Ireland. We welcome nominations from these members also.</w:t>
      </w:r>
    </w:p>
    <w:p w14:paraId="2D211E91" w14:textId="060CBC0A" w:rsidR="00E76DA2" w:rsidRPr="006709EA" w:rsidRDefault="00E76DA2" w:rsidP="00E76DA2">
      <w:pPr>
        <w:pStyle w:val="ListParagraph"/>
        <w:numPr>
          <w:ilvl w:val="0"/>
          <w:numId w:val="1"/>
        </w:numPr>
        <w:rPr>
          <w:sz w:val="24"/>
          <w:u w:val="single"/>
        </w:rPr>
      </w:pPr>
      <w:r w:rsidRPr="004636A2">
        <w:rPr>
          <w:sz w:val="24"/>
        </w:rPr>
        <w:t>The nominee should be nominated for excellence in mathematics and/or statistics support across an academic year</w:t>
      </w:r>
      <w:r w:rsidR="006709EA">
        <w:rPr>
          <w:sz w:val="24"/>
        </w:rPr>
        <w:t xml:space="preserve"> or several academic years</w:t>
      </w:r>
      <w:r w:rsidRPr="004636A2">
        <w:rPr>
          <w:sz w:val="24"/>
        </w:rPr>
        <w:t xml:space="preserve">. </w:t>
      </w:r>
      <w:r w:rsidR="00B87133" w:rsidRPr="004636A2">
        <w:rPr>
          <w:sz w:val="24"/>
        </w:rPr>
        <w:t>This could be, for example, general excellent feedback from students, doing something of particular excellence, providing new successful methods of support that increase engagement or success in modules/programs etc., or designing new materials. This list is not exhaustive.</w:t>
      </w:r>
    </w:p>
    <w:p w14:paraId="42625577" w14:textId="706A528D" w:rsidR="006709EA" w:rsidRPr="004636A2" w:rsidRDefault="006709EA" w:rsidP="00E76DA2">
      <w:pPr>
        <w:pStyle w:val="ListParagraph"/>
        <w:numPr>
          <w:ilvl w:val="0"/>
          <w:numId w:val="1"/>
        </w:numPr>
        <w:rPr>
          <w:sz w:val="24"/>
          <w:u w:val="single"/>
        </w:rPr>
      </w:pPr>
      <w:r>
        <w:rPr>
          <w:sz w:val="24"/>
        </w:rPr>
        <w:t xml:space="preserve">A </w:t>
      </w:r>
      <w:r w:rsidR="00F24DEC">
        <w:rPr>
          <w:sz w:val="24"/>
        </w:rPr>
        <w:t xml:space="preserve">supporting </w:t>
      </w:r>
      <w:r>
        <w:rPr>
          <w:sz w:val="24"/>
        </w:rPr>
        <w:t>reference should be provided by a senior staff member or manager of the maths and stats support service to assist in the judging of the awards.</w:t>
      </w:r>
    </w:p>
    <w:p w14:paraId="6A9E7724" w14:textId="39BDB378" w:rsidR="00B87133" w:rsidRPr="004636A2" w:rsidRDefault="00B87133" w:rsidP="00E76DA2">
      <w:pPr>
        <w:pStyle w:val="ListParagraph"/>
        <w:numPr>
          <w:ilvl w:val="0"/>
          <w:numId w:val="1"/>
        </w:numPr>
        <w:rPr>
          <w:sz w:val="24"/>
          <w:u w:val="single"/>
        </w:rPr>
      </w:pPr>
      <w:r w:rsidRPr="004636A2">
        <w:rPr>
          <w:sz w:val="24"/>
        </w:rPr>
        <w:t xml:space="preserve">These awards are primarily to celebrate the work of early to mid-career mathematics and statistics support practitioners. Longer standing members should not be dissuaded from being nominated </w:t>
      </w:r>
      <w:r w:rsidR="006709EA" w:rsidRPr="004636A2">
        <w:rPr>
          <w:sz w:val="24"/>
        </w:rPr>
        <w:t>however;</w:t>
      </w:r>
      <w:r w:rsidR="001B6933">
        <w:rPr>
          <w:sz w:val="24"/>
        </w:rPr>
        <w:t xml:space="preserve"> </w:t>
      </w:r>
      <w:r w:rsidRPr="004636A2">
        <w:rPr>
          <w:sz w:val="24"/>
        </w:rPr>
        <w:t xml:space="preserve">these colleagues </w:t>
      </w:r>
      <w:r w:rsidR="001B6933">
        <w:rPr>
          <w:sz w:val="24"/>
        </w:rPr>
        <w:t>may wish to</w:t>
      </w:r>
      <w:r w:rsidRPr="004636A2">
        <w:rPr>
          <w:sz w:val="24"/>
        </w:rPr>
        <w:t xml:space="preserve"> be considered for the Lawson-Croft Award instead.</w:t>
      </w:r>
      <w:r w:rsidR="006709EA">
        <w:rPr>
          <w:sz w:val="24"/>
        </w:rPr>
        <w:t xml:space="preserve"> Candidates may apply for both awards.</w:t>
      </w:r>
    </w:p>
    <w:p w14:paraId="5C4D9171" w14:textId="0248544A" w:rsidR="00B87133" w:rsidRPr="004636A2" w:rsidRDefault="00B87133" w:rsidP="00E76DA2">
      <w:pPr>
        <w:pStyle w:val="ListParagraph"/>
        <w:numPr>
          <w:ilvl w:val="0"/>
          <w:numId w:val="1"/>
        </w:numPr>
        <w:rPr>
          <w:sz w:val="24"/>
          <w:u w:val="single"/>
        </w:rPr>
      </w:pPr>
      <w:r w:rsidRPr="004636A2">
        <w:rPr>
          <w:sz w:val="24"/>
        </w:rPr>
        <w:t xml:space="preserve">Nominations will be judged by a panel consisting of </w:t>
      </w:r>
      <w:r w:rsidR="004636A2">
        <w:rPr>
          <w:sz w:val="24"/>
        </w:rPr>
        <w:t>one member from each of the three</w:t>
      </w:r>
      <w:r w:rsidRPr="004636A2">
        <w:rPr>
          <w:sz w:val="24"/>
        </w:rPr>
        <w:t xml:space="preserve"> networks’ committees</w:t>
      </w:r>
      <w:r w:rsidR="00434DF7">
        <w:rPr>
          <w:sz w:val="24"/>
        </w:rPr>
        <w:t xml:space="preserve"> and a member of the internal organising committee for that year’s CETL-MSOR conference,</w:t>
      </w:r>
      <w:r w:rsidR="00C6081A">
        <w:rPr>
          <w:sz w:val="24"/>
        </w:rPr>
        <w:t xml:space="preserve"> who will be independent from any nominations received</w:t>
      </w:r>
      <w:r w:rsidRPr="004636A2">
        <w:rPr>
          <w:sz w:val="24"/>
        </w:rPr>
        <w:t>. A maximum of</w:t>
      </w:r>
      <w:r w:rsidR="004636A2">
        <w:rPr>
          <w:sz w:val="24"/>
        </w:rPr>
        <w:t xml:space="preserve"> five</w:t>
      </w:r>
      <w:r w:rsidRPr="004636A2">
        <w:rPr>
          <w:sz w:val="24"/>
        </w:rPr>
        <w:t xml:space="preserve"> awards may be presented each year but the judging panel have the right to award less than </w:t>
      </w:r>
      <w:r w:rsidR="004636A2">
        <w:rPr>
          <w:sz w:val="24"/>
        </w:rPr>
        <w:t>five</w:t>
      </w:r>
      <w:r w:rsidRPr="004636A2">
        <w:rPr>
          <w:sz w:val="24"/>
        </w:rPr>
        <w:t xml:space="preserve"> if they feel nominations do not reach the required standard.</w:t>
      </w:r>
    </w:p>
    <w:p w14:paraId="26D19570" w14:textId="2B0801C3" w:rsidR="00B87133" w:rsidRPr="004636A2" w:rsidRDefault="00A12D32" w:rsidP="00E76DA2">
      <w:pPr>
        <w:pStyle w:val="ListParagraph"/>
        <w:numPr>
          <w:ilvl w:val="0"/>
          <w:numId w:val="1"/>
        </w:numPr>
        <w:rPr>
          <w:sz w:val="24"/>
          <w:u w:val="single"/>
        </w:rPr>
      </w:pPr>
      <w:r>
        <w:rPr>
          <w:sz w:val="24"/>
        </w:rPr>
        <w:t>Nominations will be scored</w:t>
      </w:r>
      <w:r w:rsidR="00B87133" w:rsidRPr="004636A2">
        <w:rPr>
          <w:sz w:val="24"/>
        </w:rPr>
        <w:t xml:space="preserve"> on the following areas</w:t>
      </w:r>
      <w:r>
        <w:rPr>
          <w:sz w:val="24"/>
        </w:rPr>
        <w:t xml:space="preserve"> (marks in brackets)</w:t>
      </w:r>
      <w:r w:rsidR="00B87133" w:rsidRPr="004636A2">
        <w:rPr>
          <w:sz w:val="24"/>
        </w:rPr>
        <w:t>:</w:t>
      </w:r>
    </w:p>
    <w:p w14:paraId="515EA70E" w14:textId="7CC9156A" w:rsidR="00B87133" w:rsidRPr="004636A2" w:rsidRDefault="004636A2" w:rsidP="00B87133">
      <w:pPr>
        <w:pStyle w:val="ListParagraph"/>
        <w:numPr>
          <w:ilvl w:val="1"/>
          <w:numId w:val="1"/>
        </w:numPr>
        <w:rPr>
          <w:sz w:val="24"/>
          <w:u w:val="single"/>
        </w:rPr>
      </w:pPr>
      <w:r w:rsidRPr="004636A2">
        <w:rPr>
          <w:sz w:val="24"/>
        </w:rPr>
        <w:lastRenderedPageBreak/>
        <w:t>Delivery of Mathematics and Statistics Support</w:t>
      </w:r>
      <w:r>
        <w:rPr>
          <w:sz w:val="24"/>
        </w:rPr>
        <w:t xml:space="preserve"> provided</w:t>
      </w:r>
      <w:r w:rsidR="006709EA">
        <w:rPr>
          <w:sz w:val="24"/>
        </w:rPr>
        <w:t xml:space="preserve"> </w:t>
      </w:r>
      <w:r w:rsidR="00A12D32">
        <w:rPr>
          <w:sz w:val="24"/>
        </w:rPr>
        <w:t xml:space="preserve">(10) </w:t>
      </w:r>
      <w:r w:rsidR="006709EA">
        <w:rPr>
          <w:sz w:val="24"/>
        </w:rPr>
        <w:t xml:space="preserve">– </w:t>
      </w:r>
      <w:r w:rsidR="00A12D32">
        <w:rPr>
          <w:sz w:val="24"/>
        </w:rPr>
        <w:t>there should be an explanation of how mathematics and/or statistics support has been delivered. For example, this could be that a new method implemented that was positive, changes made to existing methods that led to positive experiences, going above and beyond to support students and/or staff, learning new skills, leading mathematics and/or statistics support practice, or training others to provide high quality mathematics and/or statistics support.</w:t>
      </w:r>
    </w:p>
    <w:p w14:paraId="373B94DC" w14:textId="005DFF65" w:rsidR="004636A2" w:rsidRPr="004636A2" w:rsidRDefault="004636A2" w:rsidP="00B87133">
      <w:pPr>
        <w:pStyle w:val="ListParagraph"/>
        <w:numPr>
          <w:ilvl w:val="1"/>
          <w:numId w:val="1"/>
        </w:numPr>
        <w:rPr>
          <w:sz w:val="24"/>
          <w:u w:val="single"/>
        </w:rPr>
      </w:pPr>
      <w:r w:rsidRPr="004636A2">
        <w:rPr>
          <w:sz w:val="24"/>
        </w:rPr>
        <w:t xml:space="preserve">Outcomes </w:t>
      </w:r>
      <w:r w:rsidR="00A12D32">
        <w:rPr>
          <w:sz w:val="24"/>
        </w:rPr>
        <w:t xml:space="preserve">and impact </w:t>
      </w:r>
      <w:r w:rsidRPr="004636A2">
        <w:rPr>
          <w:sz w:val="24"/>
        </w:rPr>
        <w:t>of Mathematics and Statistics Support</w:t>
      </w:r>
      <w:r>
        <w:rPr>
          <w:sz w:val="24"/>
        </w:rPr>
        <w:t xml:space="preserve"> provided</w:t>
      </w:r>
      <w:r w:rsidR="00A12D32">
        <w:rPr>
          <w:sz w:val="24"/>
        </w:rPr>
        <w:t xml:space="preserve"> (20) – the nominee should be able to demonstrate outcomes and</w:t>
      </w:r>
      <w:r w:rsidR="00E807F1">
        <w:rPr>
          <w:sz w:val="24"/>
        </w:rPr>
        <w:t xml:space="preserve"> the</w:t>
      </w:r>
      <w:r w:rsidR="00A12D32">
        <w:rPr>
          <w:sz w:val="24"/>
        </w:rPr>
        <w:t xml:space="preserve"> impact</w:t>
      </w:r>
      <w:r w:rsidR="00E807F1">
        <w:rPr>
          <w:sz w:val="24"/>
        </w:rPr>
        <w:t xml:space="preserve"> of </w:t>
      </w:r>
      <w:r w:rsidR="00A12D32">
        <w:rPr>
          <w:sz w:val="24"/>
        </w:rPr>
        <w:t>their support. For example, this may include pass rates, increases in attendance or engagement, student testimonials, recognition both internally and externally, or positive reflections from colleagues regarding the support offered.</w:t>
      </w:r>
    </w:p>
    <w:p w14:paraId="0CC67830" w14:textId="208287EE" w:rsidR="004636A2" w:rsidRPr="004636A2" w:rsidRDefault="004636A2" w:rsidP="004636A2">
      <w:pPr>
        <w:pStyle w:val="ListParagraph"/>
        <w:numPr>
          <w:ilvl w:val="1"/>
          <w:numId w:val="1"/>
        </w:numPr>
        <w:rPr>
          <w:sz w:val="24"/>
          <w:u w:val="single"/>
        </w:rPr>
      </w:pPr>
      <w:r>
        <w:rPr>
          <w:sz w:val="24"/>
        </w:rPr>
        <w:t>Overall e</w:t>
      </w:r>
      <w:r w:rsidRPr="004636A2">
        <w:rPr>
          <w:sz w:val="24"/>
        </w:rPr>
        <w:t>vidence</w:t>
      </w:r>
      <w:r>
        <w:rPr>
          <w:sz w:val="24"/>
        </w:rPr>
        <w:t xml:space="preserve"> of e</w:t>
      </w:r>
      <w:r w:rsidRPr="004636A2">
        <w:rPr>
          <w:sz w:val="24"/>
        </w:rPr>
        <w:t>xcellence in Mathematics and Statistics Support</w:t>
      </w:r>
      <w:r>
        <w:rPr>
          <w:sz w:val="24"/>
        </w:rPr>
        <w:t xml:space="preserve"> provided</w:t>
      </w:r>
      <w:r w:rsidR="00A12D32">
        <w:rPr>
          <w:sz w:val="24"/>
        </w:rPr>
        <w:t xml:space="preserve"> (20) – the nominee should show excellence in the mathematics and/or statistics support offered, demonstrated through their work. </w:t>
      </w:r>
      <w:r w:rsidR="00E807F1">
        <w:rPr>
          <w:sz w:val="24"/>
        </w:rPr>
        <w:t>This may be through dissemination (e.g. workshops, seminars, conferences, journal articles etc.) or a record of accomplishment of the nominees’ work, alongside the evidence provided for the other two sections.</w:t>
      </w:r>
    </w:p>
    <w:p w14:paraId="10D7BC6E" w14:textId="2ED49660" w:rsidR="006709EA" w:rsidRDefault="00E807F1" w:rsidP="006709EA">
      <w:pPr>
        <w:ind w:left="720"/>
        <w:rPr>
          <w:sz w:val="24"/>
        </w:rPr>
      </w:pPr>
      <w:r>
        <w:rPr>
          <w:sz w:val="24"/>
        </w:rPr>
        <w:t>Each nomination therefore will be given a</w:t>
      </w:r>
      <w:r w:rsidR="004636A2">
        <w:rPr>
          <w:sz w:val="24"/>
        </w:rPr>
        <w:t xml:space="preserve"> total score out of 50.</w:t>
      </w:r>
      <w:r>
        <w:rPr>
          <w:sz w:val="24"/>
        </w:rPr>
        <w:t xml:space="preserve"> The examples provided for each of the sections above are not meant to be exhaustive but to give nominees an idea of what each of the criteria is looking for.</w:t>
      </w:r>
    </w:p>
    <w:p w14:paraId="7EA4CC89" w14:textId="0F531C2A" w:rsidR="004636A2" w:rsidRDefault="004636A2" w:rsidP="004636A2">
      <w:pPr>
        <w:pStyle w:val="ListParagraph"/>
        <w:numPr>
          <w:ilvl w:val="0"/>
          <w:numId w:val="1"/>
        </w:numPr>
        <w:rPr>
          <w:sz w:val="24"/>
        </w:rPr>
      </w:pPr>
      <w:r>
        <w:rPr>
          <w:sz w:val="24"/>
        </w:rPr>
        <w:t>If more than five nominations meet the standard agreed by the judging panel then the top five scoring nominations will be put forward for an award.</w:t>
      </w:r>
    </w:p>
    <w:p w14:paraId="134795BD" w14:textId="77777777" w:rsidR="004636A2" w:rsidRDefault="004636A2" w:rsidP="004636A2">
      <w:pPr>
        <w:pStyle w:val="ListParagraph"/>
        <w:numPr>
          <w:ilvl w:val="0"/>
          <w:numId w:val="1"/>
        </w:numPr>
        <w:rPr>
          <w:sz w:val="24"/>
        </w:rPr>
      </w:pPr>
      <w:r>
        <w:rPr>
          <w:sz w:val="24"/>
        </w:rPr>
        <w:t>A member who wins an award cannot be nominated for an award in the following academic year but may be nominated in subsequent academic years.</w:t>
      </w:r>
    </w:p>
    <w:p w14:paraId="3C4831C7" w14:textId="31968448" w:rsidR="004636A2" w:rsidRDefault="004636A2" w:rsidP="004636A2">
      <w:pPr>
        <w:pStyle w:val="ListParagraph"/>
        <w:numPr>
          <w:ilvl w:val="0"/>
          <w:numId w:val="1"/>
        </w:numPr>
        <w:rPr>
          <w:sz w:val="24"/>
        </w:rPr>
      </w:pPr>
      <w:r>
        <w:rPr>
          <w:sz w:val="24"/>
        </w:rPr>
        <w:t>A member who is nominated but does not win an award may be nominated again in the following academic year.</w:t>
      </w:r>
    </w:p>
    <w:p w14:paraId="38AA6906" w14:textId="77777777" w:rsidR="004636A2" w:rsidRDefault="004636A2" w:rsidP="004636A2">
      <w:pPr>
        <w:pStyle w:val="ListParagraph"/>
        <w:numPr>
          <w:ilvl w:val="0"/>
          <w:numId w:val="1"/>
        </w:numPr>
        <w:rPr>
          <w:sz w:val="24"/>
        </w:rPr>
      </w:pPr>
      <w:r>
        <w:rPr>
          <w:sz w:val="24"/>
        </w:rPr>
        <w:t>Awards will be presented each year at the CETL-MSOR conference dinner.</w:t>
      </w:r>
    </w:p>
    <w:p w14:paraId="7C8BDAD3" w14:textId="77777777" w:rsidR="00C6081A" w:rsidRDefault="00C6081A" w:rsidP="00C6081A">
      <w:pPr>
        <w:ind w:left="360"/>
        <w:rPr>
          <w:sz w:val="24"/>
          <w:u w:val="single"/>
        </w:rPr>
      </w:pPr>
      <w:r>
        <w:rPr>
          <w:sz w:val="24"/>
          <w:u w:val="single"/>
        </w:rPr>
        <w:t>Submission of Nominations</w:t>
      </w:r>
    </w:p>
    <w:p w14:paraId="1C56D414" w14:textId="22BA4A62" w:rsidR="00C6081A" w:rsidRDefault="00C6081A" w:rsidP="00C6081A">
      <w:pPr>
        <w:ind w:left="360"/>
        <w:rPr>
          <w:sz w:val="24"/>
        </w:rPr>
      </w:pPr>
      <w:r>
        <w:rPr>
          <w:sz w:val="24"/>
        </w:rPr>
        <w:t>Nominations should be submitted through the following link:</w:t>
      </w:r>
      <w:r w:rsidR="00CA1D51">
        <w:rPr>
          <w:sz w:val="24"/>
        </w:rPr>
        <w:t xml:space="preserve"> </w:t>
      </w:r>
    </w:p>
    <w:p w14:paraId="4A12CDD2" w14:textId="04A400AB" w:rsidR="00C6081A" w:rsidRPr="000E5300" w:rsidRDefault="00C6081A" w:rsidP="00C6081A">
      <w:pPr>
        <w:ind w:left="360"/>
        <w:rPr>
          <w:b/>
          <w:bCs/>
          <w:sz w:val="24"/>
        </w:rPr>
      </w:pPr>
      <w:r w:rsidRPr="000E5300">
        <w:rPr>
          <w:b/>
          <w:bCs/>
          <w:sz w:val="24"/>
        </w:rPr>
        <w:t>and by the deadline of</w:t>
      </w:r>
      <w:r w:rsidR="00EC5091" w:rsidRPr="000E5300">
        <w:rPr>
          <w:b/>
          <w:bCs/>
          <w:sz w:val="24"/>
        </w:rPr>
        <w:t xml:space="preserve"> </w:t>
      </w:r>
    </w:p>
    <w:p w14:paraId="3D0F2A16" w14:textId="20E591C8" w:rsidR="00E76DA2" w:rsidRPr="00EC5091" w:rsidRDefault="00C6081A" w:rsidP="00715300">
      <w:pPr>
        <w:ind w:left="360"/>
        <w:rPr>
          <w:sz w:val="24"/>
        </w:rPr>
      </w:pPr>
      <w:r>
        <w:rPr>
          <w:sz w:val="24"/>
        </w:rPr>
        <w:t xml:space="preserve">Nominations are a written submission of a maximum of 500 words explaining why the nominee should receive the award. </w:t>
      </w:r>
      <w:r w:rsidR="00715300">
        <w:rPr>
          <w:sz w:val="24"/>
        </w:rPr>
        <w:t>The reference from a manager/senior member of the support service along with a</w:t>
      </w:r>
      <w:r>
        <w:rPr>
          <w:sz w:val="24"/>
        </w:rPr>
        <w:t xml:space="preserve"> maximum of three documents as evidence</w:t>
      </w:r>
      <w:r w:rsidR="006709EA">
        <w:rPr>
          <w:sz w:val="24"/>
        </w:rPr>
        <w:t xml:space="preserve"> (e.g. a C.V., journal papers, reports, publicity etc.)</w:t>
      </w:r>
      <w:r>
        <w:rPr>
          <w:sz w:val="24"/>
        </w:rPr>
        <w:t xml:space="preserve"> where necessary to help the judging panel with their selections</w:t>
      </w:r>
      <w:r w:rsidR="00715300">
        <w:rPr>
          <w:sz w:val="24"/>
        </w:rPr>
        <w:t xml:space="preserve">, should </w:t>
      </w:r>
      <w:r w:rsidR="00212A77">
        <w:rPr>
          <w:sz w:val="24"/>
        </w:rPr>
        <w:t xml:space="preserve">be sent via email to Dr Mark Hodds (email </w:t>
      </w:r>
      <w:hyperlink r:id="rId11" w:history="1">
        <w:r w:rsidR="00212A77" w:rsidRPr="00AE7905">
          <w:rPr>
            <w:rStyle w:val="Hyperlink"/>
            <w:sz w:val="24"/>
          </w:rPr>
          <w:t>ab7634@coventry.ac.uk</w:t>
        </w:r>
      </w:hyperlink>
      <w:r w:rsidR="00212A77">
        <w:rPr>
          <w:sz w:val="24"/>
        </w:rPr>
        <w:t xml:space="preserve">). </w:t>
      </w:r>
    </w:p>
    <w:sectPr w:rsidR="00E76DA2" w:rsidRPr="00EC5091" w:rsidSect="00E76DA2">
      <w:pgSz w:w="11906" w:h="16838"/>
      <w:pgMar w:top="567"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03EBC"/>
    <w:multiLevelType w:val="hybridMultilevel"/>
    <w:tmpl w:val="DC5E8BA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0B57D2E"/>
    <w:multiLevelType w:val="hybridMultilevel"/>
    <w:tmpl w:val="4114E8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2725476">
    <w:abstractNumId w:val="0"/>
  </w:num>
  <w:num w:numId="2" w16cid:durableId="9686256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DA2"/>
    <w:rsid w:val="000B2991"/>
    <w:rsid w:val="000E5300"/>
    <w:rsid w:val="001424D6"/>
    <w:rsid w:val="001B6933"/>
    <w:rsid w:val="001F2B62"/>
    <w:rsid w:val="00212A77"/>
    <w:rsid w:val="00240AF3"/>
    <w:rsid w:val="003D2EE7"/>
    <w:rsid w:val="003F5709"/>
    <w:rsid w:val="004319F5"/>
    <w:rsid w:val="00434DF7"/>
    <w:rsid w:val="004636A2"/>
    <w:rsid w:val="00490658"/>
    <w:rsid w:val="00521F05"/>
    <w:rsid w:val="005248F2"/>
    <w:rsid w:val="005321D7"/>
    <w:rsid w:val="006709EA"/>
    <w:rsid w:val="00715300"/>
    <w:rsid w:val="00791F54"/>
    <w:rsid w:val="009B2226"/>
    <w:rsid w:val="00A12D32"/>
    <w:rsid w:val="00B87133"/>
    <w:rsid w:val="00C24F4B"/>
    <w:rsid w:val="00C6081A"/>
    <w:rsid w:val="00CA1D51"/>
    <w:rsid w:val="00D635D5"/>
    <w:rsid w:val="00DE50D4"/>
    <w:rsid w:val="00E76DA2"/>
    <w:rsid w:val="00E807F1"/>
    <w:rsid w:val="00EC5091"/>
    <w:rsid w:val="00F24DEC"/>
    <w:rsid w:val="00F30999"/>
    <w:rsid w:val="00F711E6"/>
    <w:rsid w:val="00FB0400"/>
    <w:rsid w:val="00FD0C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23373"/>
  <w15:chartTrackingRefBased/>
  <w15:docId w15:val="{F561BFEE-35B3-4455-BD9C-C930FB9C1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6DA2"/>
    <w:pPr>
      <w:ind w:left="720"/>
      <w:contextualSpacing/>
    </w:pPr>
  </w:style>
  <w:style w:type="character" w:styleId="CommentReference">
    <w:name w:val="annotation reference"/>
    <w:basedOn w:val="DefaultParagraphFont"/>
    <w:uiPriority w:val="99"/>
    <w:semiHidden/>
    <w:unhideWhenUsed/>
    <w:rsid w:val="00C24F4B"/>
    <w:rPr>
      <w:sz w:val="16"/>
      <w:szCs w:val="16"/>
    </w:rPr>
  </w:style>
  <w:style w:type="paragraph" w:styleId="CommentText">
    <w:name w:val="annotation text"/>
    <w:basedOn w:val="Normal"/>
    <w:link w:val="CommentTextChar"/>
    <w:uiPriority w:val="99"/>
    <w:semiHidden/>
    <w:unhideWhenUsed/>
    <w:rsid w:val="00C24F4B"/>
    <w:pPr>
      <w:spacing w:line="240" w:lineRule="auto"/>
    </w:pPr>
    <w:rPr>
      <w:sz w:val="20"/>
      <w:szCs w:val="20"/>
    </w:rPr>
  </w:style>
  <w:style w:type="character" w:customStyle="1" w:styleId="CommentTextChar">
    <w:name w:val="Comment Text Char"/>
    <w:basedOn w:val="DefaultParagraphFont"/>
    <w:link w:val="CommentText"/>
    <w:uiPriority w:val="99"/>
    <w:semiHidden/>
    <w:rsid w:val="00C24F4B"/>
    <w:rPr>
      <w:sz w:val="20"/>
      <w:szCs w:val="20"/>
    </w:rPr>
  </w:style>
  <w:style w:type="paragraph" w:styleId="CommentSubject">
    <w:name w:val="annotation subject"/>
    <w:basedOn w:val="CommentText"/>
    <w:next w:val="CommentText"/>
    <w:link w:val="CommentSubjectChar"/>
    <w:uiPriority w:val="99"/>
    <w:semiHidden/>
    <w:unhideWhenUsed/>
    <w:rsid w:val="00C24F4B"/>
    <w:rPr>
      <w:b/>
      <w:bCs/>
    </w:rPr>
  </w:style>
  <w:style w:type="character" w:customStyle="1" w:styleId="CommentSubjectChar">
    <w:name w:val="Comment Subject Char"/>
    <w:basedOn w:val="CommentTextChar"/>
    <w:link w:val="CommentSubject"/>
    <w:uiPriority w:val="99"/>
    <w:semiHidden/>
    <w:rsid w:val="00C24F4B"/>
    <w:rPr>
      <w:b/>
      <w:bCs/>
      <w:sz w:val="20"/>
      <w:szCs w:val="20"/>
    </w:rPr>
  </w:style>
  <w:style w:type="paragraph" w:styleId="BalloonText">
    <w:name w:val="Balloon Text"/>
    <w:basedOn w:val="Normal"/>
    <w:link w:val="BalloonTextChar"/>
    <w:uiPriority w:val="99"/>
    <w:semiHidden/>
    <w:unhideWhenUsed/>
    <w:rsid w:val="00521F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1F05"/>
    <w:rPr>
      <w:rFonts w:ascii="Segoe UI" w:hAnsi="Segoe UI" w:cs="Segoe UI"/>
      <w:sz w:val="18"/>
      <w:szCs w:val="18"/>
    </w:rPr>
  </w:style>
  <w:style w:type="character" w:styleId="Hyperlink">
    <w:name w:val="Hyperlink"/>
    <w:basedOn w:val="DefaultParagraphFont"/>
    <w:uiPriority w:val="99"/>
    <w:unhideWhenUsed/>
    <w:rsid w:val="00CA1D51"/>
    <w:rPr>
      <w:color w:val="0563C1" w:themeColor="hyperlink"/>
      <w:u w:val="single"/>
    </w:rPr>
  </w:style>
  <w:style w:type="character" w:styleId="UnresolvedMention">
    <w:name w:val="Unresolved Mention"/>
    <w:basedOn w:val="DefaultParagraphFont"/>
    <w:uiPriority w:val="99"/>
    <w:semiHidden/>
    <w:unhideWhenUsed/>
    <w:rsid w:val="005248F2"/>
    <w:rPr>
      <w:color w:val="605E5C"/>
      <w:shd w:val="clear" w:color="auto" w:fill="E1DFDD"/>
    </w:rPr>
  </w:style>
  <w:style w:type="character" w:styleId="FollowedHyperlink">
    <w:name w:val="FollowedHyperlink"/>
    <w:basedOn w:val="DefaultParagraphFont"/>
    <w:uiPriority w:val="99"/>
    <w:semiHidden/>
    <w:unhideWhenUsed/>
    <w:rsid w:val="000E530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b7634@coventry.ac.uk" TargetMode="External"/><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A69692190DEB46AE09E6B160629FED" ma:contentTypeVersion="15" ma:contentTypeDescription="Create a new document." ma:contentTypeScope="" ma:versionID="c69f9ec8f527334b516dde106f7ea6a9">
  <xsd:schema xmlns:xsd="http://www.w3.org/2001/XMLSchema" xmlns:xs="http://www.w3.org/2001/XMLSchema" xmlns:p="http://schemas.microsoft.com/office/2006/metadata/properties" xmlns:ns1="http://schemas.microsoft.com/sharepoint/v3" xmlns:ns3="ffd8e430-940f-4412-b6ac-288319775b59" xmlns:ns4="2bec0659-9fcc-4b86-bbcd-bd440343f4e6" targetNamespace="http://schemas.microsoft.com/office/2006/metadata/properties" ma:root="true" ma:fieldsID="675245308cd69ea189f350adf065422d" ns1:_="" ns3:_="" ns4:_="">
    <xsd:import namespace="http://schemas.microsoft.com/sharepoint/v3"/>
    <xsd:import namespace="ffd8e430-940f-4412-b6ac-288319775b59"/>
    <xsd:import namespace="2bec0659-9fcc-4b86-bbcd-bd440343f4e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1:_ip_UnifiedCompliancePolicyProperties" minOccurs="0"/>
                <xsd:element ref="ns1:_ip_UnifiedCompliancePolicyUIAction" minOccurs="0"/>
                <xsd:element ref="ns4:MediaServiceDateTaken" minOccurs="0"/>
                <xsd:element ref="ns4:MediaServiceGenerationTime" minOccurs="0"/>
                <xsd:element ref="ns4:MediaServiceEventHashCod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d8e430-940f-4412-b6ac-288319775b5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ec0659-9fcc-4b86-bbcd-bd440343f4e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5E3C777-B040-42CF-8419-C3CE59E85431}">
  <ds:schemaRefs>
    <ds:schemaRef ds:uri="http://schemas.microsoft.com/sharepoint/v3/contenttype/forms"/>
  </ds:schemaRefs>
</ds:datastoreItem>
</file>

<file path=customXml/itemProps2.xml><?xml version="1.0" encoding="utf-8"?>
<ds:datastoreItem xmlns:ds="http://schemas.openxmlformats.org/officeDocument/2006/customXml" ds:itemID="{78D8B697-2850-4311-BB03-DF1D2817A0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fd8e430-940f-4412-b6ac-288319775b59"/>
    <ds:schemaRef ds:uri="2bec0659-9fcc-4b86-bbcd-bd440343f4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CA4425-38F5-401E-8741-3D4AAE25790E}">
  <ds:schemaRefs>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schemas.microsoft.com/sharepoint/v3"/>
    <ds:schemaRef ds:uri="2bec0659-9fcc-4b86-bbcd-bd440343f4e6"/>
    <ds:schemaRef ds:uri="http://purl.org/dc/elements/1.1/"/>
    <ds:schemaRef ds:uri="ffd8e430-940f-4412-b6ac-288319775b5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769</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Coventry University</Company>
  <LinksUpToDate>false</LinksUpToDate>
  <CharactersWithSpaces>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Hodds</dc:creator>
  <cp:keywords/>
  <dc:description/>
  <cp:lastModifiedBy>Mark Hodds</cp:lastModifiedBy>
  <cp:revision>13</cp:revision>
  <cp:lastPrinted>2021-04-20T07:57:00Z</cp:lastPrinted>
  <dcterms:created xsi:type="dcterms:W3CDTF">2021-04-28T07:51:00Z</dcterms:created>
  <dcterms:modified xsi:type="dcterms:W3CDTF">2025-06-30T09:20:00Z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0x010100B4A69692190DEB46AE09E6B160629FED</vt:lpwstr>
  </property>
</Properties>
</file>